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D2" w:rsidRPr="00BB24AD" w:rsidRDefault="007C79D2" w:rsidP="007C79D2">
      <w:pPr>
        <w:jc w:val="center"/>
        <w:rPr>
          <w:b/>
          <w:sz w:val="32"/>
          <w:szCs w:val="32"/>
          <w:lang w:val="de-AT"/>
        </w:rPr>
      </w:pPr>
      <w:bookmarkStart w:id="0" w:name="_GoBack"/>
      <w:bookmarkEnd w:id="0"/>
      <w:r w:rsidRPr="00BB24AD">
        <w:rPr>
          <w:b/>
          <w:sz w:val="32"/>
          <w:szCs w:val="32"/>
          <w:lang w:val="de-AT"/>
        </w:rPr>
        <w:t>Die Jugendlichen und die Arbeit</w:t>
      </w:r>
      <w:r>
        <w:rPr>
          <w:b/>
          <w:sz w:val="32"/>
          <w:szCs w:val="32"/>
          <w:lang w:val="de-AT"/>
        </w:rPr>
        <w:t xml:space="preserve"> </w:t>
      </w:r>
      <w:r w:rsidRPr="00BB24AD">
        <w:rPr>
          <w:b/>
          <w:sz w:val="32"/>
          <w:szCs w:val="32"/>
          <w:lang w:val="de-AT"/>
        </w:rPr>
        <w:t xml:space="preserve">… am Beginn des 3. </w:t>
      </w:r>
      <w:r>
        <w:rPr>
          <w:b/>
          <w:sz w:val="32"/>
          <w:szCs w:val="32"/>
          <w:lang w:val="de-AT"/>
        </w:rPr>
        <w:t>Jahrtausends</w:t>
      </w:r>
    </w:p>
    <w:p w:rsidR="007C79D2" w:rsidRPr="00FB65FC" w:rsidRDefault="007C79D2" w:rsidP="007C79D2">
      <w:pPr>
        <w:jc w:val="center"/>
        <w:rPr>
          <w:b/>
          <w:sz w:val="32"/>
          <w:szCs w:val="32"/>
          <w:lang w:val="de-AT"/>
        </w:rPr>
      </w:pPr>
      <w:r w:rsidRPr="00FB65FC">
        <w:rPr>
          <w:b/>
          <w:sz w:val="32"/>
          <w:szCs w:val="32"/>
          <w:lang w:val="de-AT"/>
        </w:rPr>
        <w:t>Eine pädagogische Perspektive</w:t>
      </w:r>
    </w:p>
    <w:p w:rsidR="007C79D2" w:rsidRPr="00FB65FC" w:rsidRDefault="007C79D2" w:rsidP="007C79D2">
      <w:pPr>
        <w:jc w:val="center"/>
        <w:rPr>
          <w:b/>
          <w:sz w:val="32"/>
          <w:szCs w:val="32"/>
          <w:lang w:val="de-AT"/>
        </w:rPr>
      </w:pPr>
    </w:p>
    <w:p w:rsidR="007C79D2" w:rsidRPr="000A52B2" w:rsidRDefault="007C79D2" w:rsidP="007C79D2">
      <w:pPr>
        <w:jc w:val="center"/>
        <w:rPr>
          <w:b/>
          <w:sz w:val="28"/>
          <w:szCs w:val="28"/>
          <w:lang w:val="de-AT"/>
        </w:rPr>
      </w:pPr>
      <w:r w:rsidRPr="000A52B2">
        <w:rPr>
          <w:b/>
          <w:sz w:val="28"/>
          <w:szCs w:val="28"/>
          <w:lang w:val="de-AT"/>
        </w:rPr>
        <w:t>Prof. Andrea Porcarelli</w:t>
      </w:r>
    </w:p>
    <w:p w:rsidR="007C79D2" w:rsidRPr="00BB24AD" w:rsidRDefault="007C79D2" w:rsidP="007C79D2">
      <w:pPr>
        <w:jc w:val="center"/>
        <w:rPr>
          <w:lang w:val="de-AT"/>
        </w:rPr>
      </w:pPr>
      <w:r w:rsidRPr="00BB24AD">
        <w:rPr>
          <w:lang w:val="de-AT"/>
        </w:rPr>
        <w:t>Professor der Allgemeinen und der Sozialpädagogik – Universit</w:t>
      </w:r>
      <w:r>
        <w:rPr>
          <w:lang w:val="de-AT"/>
        </w:rPr>
        <w:t>ät</w:t>
      </w:r>
      <w:r w:rsidRPr="00BB24AD">
        <w:rPr>
          <w:lang w:val="de-AT"/>
        </w:rPr>
        <w:t xml:space="preserve"> Pad</w:t>
      </w:r>
      <w:r>
        <w:rPr>
          <w:lang w:val="de-AT"/>
        </w:rPr>
        <w:t>u</w:t>
      </w:r>
      <w:r w:rsidRPr="00BB24AD">
        <w:rPr>
          <w:lang w:val="de-AT"/>
        </w:rPr>
        <w:t>a</w:t>
      </w:r>
    </w:p>
    <w:p w:rsidR="007C79D2" w:rsidRPr="00BA370D" w:rsidRDefault="007C79D2" w:rsidP="007C79D2">
      <w:pPr>
        <w:jc w:val="center"/>
        <w:rPr>
          <w:lang w:val="de-AT"/>
        </w:rPr>
      </w:pPr>
      <w:r w:rsidRPr="00BA370D">
        <w:rPr>
          <w:lang w:val="de-AT"/>
        </w:rPr>
        <w:t>Nationaler Beirat der UCIIM</w:t>
      </w:r>
    </w:p>
    <w:p w:rsidR="007C79D2" w:rsidRPr="00BA370D" w:rsidRDefault="007C79D2" w:rsidP="007C79D2">
      <w:pPr>
        <w:rPr>
          <w:lang w:val="de-AT"/>
        </w:rPr>
      </w:pPr>
    </w:p>
    <w:p w:rsidR="007C79D2" w:rsidRPr="00DE139A" w:rsidRDefault="007C79D2" w:rsidP="007C79D2">
      <w:pPr>
        <w:pStyle w:val="Default"/>
        <w:rPr>
          <w:rFonts w:ascii="Times New Roman" w:hAnsi="Times New Roman" w:cs="Times New Roman"/>
          <w:color w:val="auto"/>
        </w:rPr>
      </w:pPr>
      <w:r w:rsidRPr="00DE139A">
        <w:rPr>
          <w:rFonts w:ascii="Times New Roman" w:hAnsi="Times New Roman" w:cs="Times New Roman"/>
          <w:b/>
          <w:color w:val="auto"/>
        </w:rPr>
        <w:t xml:space="preserve">Ein provokanter Vorschlag von Aldo Agazzi </w:t>
      </w:r>
      <w:r w:rsidRPr="00DE139A">
        <w:rPr>
          <w:rFonts w:ascii="Times New Roman" w:hAnsi="Times New Roman" w:cs="Times New Roman"/>
          <w:color w:val="auto"/>
        </w:rPr>
        <w:t xml:space="preserve"> </w:t>
      </w:r>
    </w:p>
    <w:p w:rsidR="007C79D2" w:rsidRPr="00DE5E15" w:rsidRDefault="007C79D2" w:rsidP="007C79D2">
      <w:pPr>
        <w:rPr>
          <w:lang w:val="de-AT"/>
        </w:rPr>
      </w:pPr>
      <w:r w:rsidRPr="00DE5E15">
        <w:rPr>
          <w:lang w:val="de-AT"/>
        </w:rPr>
        <w:t xml:space="preserve">Unsere bürgerliche Tradition beinhaltet die Antinomie otium-negotium, freie Künste – knechtliche </w:t>
      </w:r>
      <w:r>
        <w:rPr>
          <w:lang w:val="de-AT"/>
        </w:rPr>
        <w:t>Tätigkeiten</w:t>
      </w:r>
      <w:r w:rsidRPr="00DE5E15">
        <w:rPr>
          <w:lang w:val="de-AT"/>
        </w:rPr>
        <w:t>; klassisch-humanistische Verachtung der Handarbeit und der Anstrengung und der christlich-biblischen Wertschätzung der Arbeit und der Technik: Die Bildung muss diesen vorhandenen Gegensatz vollständig korrigieren und überwinden, indem sie allen eine humanistisch</w:t>
      </w:r>
      <w:r>
        <w:rPr>
          <w:lang w:val="de-AT"/>
        </w:rPr>
        <w:t>e und auf A</w:t>
      </w:r>
      <w:r w:rsidRPr="00DE5E15">
        <w:rPr>
          <w:lang w:val="de-AT"/>
        </w:rPr>
        <w:t xml:space="preserve">rbeit vorbereitende Bildung gibt – </w:t>
      </w:r>
      <w:r>
        <w:rPr>
          <w:lang w:val="de-AT"/>
        </w:rPr>
        <w:t>für</w:t>
      </w:r>
      <w:r w:rsidRPr="00DE5E15">
        <w:rPr>
          <w:lang w:val="de-AT"/>
        </w:rPr>
        <w:t xml:space="preserve"> </w:t>
      </w:r>
      <w:r>
        <w:rPr>
          <w:lang w:val="de-AT"/>
        </w:rPr>
        <w:t>Menschsein</w:t>
      </w:r>
      <w:r w:rsidRPr="00DE5E15">
        <w:rPr>
          <w:lang w:val="de-AT"/>
        </w:rPr>
        <w:t xml:space="preserve"> und Arbeit in allen Schulen – </w:t>
      </w:r>
      <w:r>
        <w:rPr>
          <w:lang w:val="de-AT"/>
        </w:rPr>
        <w:t>bis zum Zeitpunkt der Spezialisierung und der beruflichen Qualifizierung</w:t>
      </w:r>
      <w:r w:rsidRPr="00DE5E15">
        <w:rPr>
          <w:lang w:val="de-AT"/>
        </w:rPr>
        <w:t xml:space="preserve">, </w:t>
      </w:r>
      <w:r>
        <w:rPr>
          <w:lang w:val="de-AT"/>
        </w:rPr>
        <w:t xml:space="preserve">wenn sich aus der menschlichen Allgemeinbildung </w:t>
      </w:r>
      <w:r w:rsidRPr="00DE5E15">
        <w:rPr>
          <w:lang w:val="de-AT"/>
        </w:rPr>
        <w:t>(</w:t>
      </w:r>
      <w:r>
        <w:rPr>
          <w:lang w:val="de-AT"/>
        </w:rPr>
        <w:t>die auch die Arbeit umfasst</w:t>
      </w:r>
      <w:r w:rsidRPr="00DE5E15">
        <w:rPr>
          <w:lang w:val="de-AT"/>
        </w:rPr>
        <w:t>)</w:t>
      </w:r>
      <w:r>
        <w:rPr>
          <w:lang w:val="de-AT"/>
        </w:rPr>
        <w:t xml:space="preserve"> ein vom Subjekt ausgewählter eigener intellektueller, künstlerischer, technischer, handwerklicher Beruf herausschält, eine der Aktivitäten, die der Mensch als seine eigenen vollbracht hat (Agazzi, 1958, S</w:t>
      </w:r>
      <w:r w:rsidRPr="00DE5E15">
        <w:rPr>
          <w:lang w:val="de-AT"/>
        </w:rPr>
        <w:t>. 224).</w:t>
      </w:r>
    </w:p>
    <w:p w:rsidR="007C79D2" w:rsidRPr="00DE5E15" w:rsidRDefault="007C79D2" w:rsidP="007C79D2">
      <w:pPr>
        <w:pStyle w:val="Default"/>
        <w:jc w:val="both"/>
        <w:rPr>
          <w:rFonts w:ascii="Times New Roman" w:hAnsi="Times New Roman" w:cs="Times New Roman"/>
        </w:rPr>
      </w:pPr>
    </w:p>
    <w:p w:rsidR="007C79D2" w:rsidRPr="00427FA4" w:rsidRDefault="007C79D2" w:rsidP="007C79D2">
      <w:pPr>
        <w:pStyle w:val="Default"/>
        <w:jc w:val="both"/>
        <w:rPr>
          <w:rFonts w:ascii="Times New Roman" w:hAnsi="Times New Roman" w:cs="Times New Roman"/>
          <w:b/>
          <w:color w:val="auto"/>
        </w:rPr>
      </w:pPr>
      <w:r w:rsidRPr="00427FA4">
        <w:rPr>
          <w:rFonts w:ascii="Times New Roman" w:hAnsi="Times New Roman" w:cs="Times New Roman"/>
          <w:b/>
          <w:color w:val="auto"/>
        </w:rPr>
        <w:t xml:space="preserve">Auf der Suche nach geteilten beruflichen Werten </w:t>
      </w:r>
    </w:p>
    <w:p w:rsidR="007C79D2" w:rsidRPr="00705E74" w:rsidRDefault="007C79D2" w:rsidP="007C79D2">
      <w:pPr>
        <w:rPr>
          <w:lang w:val="de-AT"/>
        </w:rPr>
      </w:pPr>
      <w:r w:rsidRPr="00427FA4">
        <w:rPr>
          <w:lang w:val="de-AT"/>
        </w:rPr>
        <w:t>In vielen Referaten wird von einem gesellsch</w:t>
      </w:r>
      <w:r>
        <w:rPr>
          <w:lang w:val="de-AT"/>
        </w:rPr>
        <w:t>aftlichen und kulturellen Szenar</w:t>
      </w:r>
      <w:r w:rsidRPr="00427FA4">
        <w:rPr>
          <w:lang w:val="de-AT"/>
        </w:rPr>
        <w:t xml:space="preserve">io </w:t>
      </w:r>
      <w:r>
        <w:rPr>
          <w:lang w:val="de-AT"/>
        </w:rPr>
        <w:t xml:space="preserve">gesprochen, das durch </w:t>
      </w:r>
      <w:r w:rsidRPr="00427FA4">
        <w:rPr>
          <w:lang w:val="de-AT"/>
        </w:rPr>
        <w:t xml:space="preserve">Komplexität und Unbeständigkeit </w:t>
      </w:r>
      <w:r>
        <w:rPr>
          <w:lang w:val="de-AT"/>
        </w:rPr>
        <w:t xml:space="preserve">einer vorherrschenden Kultur gekennzeichnet ist, die eine Art implizite </w:t>
      </w:r>
      <w:r w:rsidRPr="00427FA4">
        <w:rPr>
          <w:i/>
          <w:lang w:val="de-AT"/>
        </w:rPr>
        <w:t xml:space="preserve">paideia </w:t>
      </w:r>
      <w:r>
        <w:rPr>
          <w:lang w:val="de-AT"/>
        </w:rPr>
        <w:t>beinhaltet: darin findet sich e</w:t>
      </w:r>
      <w:r w:rsidRPr="00427FA4">
        <w:rPr>
          <w:lang w:val="de-AT"/>
        </w:rPr>
        <w:t xml:space="preserve">in </w:t>
      </w:r>
      <w:r>
        <w:rPr>
          <w:lang w:val="de-AT"/>
        </w:rPr>
        <w:t xml:space="preserve">wahres und eigenartiges </w:t>
      </w:r>
      <w:r>
        <w:rPr>
          <w:i/>
          <w:lang w:val="de-AT"/>
        </w:rPr>
        <w:t>pädagogisches Paradoxon</w:t>
      </w:r>
      <w:r>
        <w:rPr>
          <w:lang w:val="de-AT"/>
        </w:rPr>
        <w:t xml:space="preserve">: in diesem versucht man, </w:t>
      </w:r>
      <w:r w:rsidRPr="00427FA4">
        <w:rPr>
          <w:lang w:val="de-AT"/>
        </w:rPr>
        <w:t xml:space="preserve">die Wesenszüge </w:t>
      </w:r>
      <w:r>
        <w:rPr>
          <w:lang w:val="de-AT"/>
        </w:rPr>
        <w:t xml:space="preserve">eines </w:t>
      </w:r>
      <w:r>
        <w:rPr>
          <w:i/>
          <w:lang w:val="de-AT"/>
        </w:rPr>
        <w:t>gesellschaftlichen F</w:t>
      </w:r>
      <w:r w:rsidRPr="00427FA4">
        <w:rPr>
          <w:i/>
          <w:lang w:val="de-AT"/>
        </w:rPr>
        <w:t xml:space="preserve">unktionalismus </w:t>
      </w:r>
      <w:r w:rsidRPr="00427FA4">
        <w:rPr>
          <w:lang w:val="de-AT"/>
        </w:rPr>
        <w:t xml:space="preserve">und </w:t>
      </w:r>
      <w:r>
        <w:rPr>
          <w:lang w:val="de-AT"/>
        </w:rPr>
        <w:t xml:space="preserve">eines </w:t>
      </w:r>
      <w:r>
        <w:rPr>
          <w:i/>
          <w:iCs/>
          <w:lang w:val="de-AT"/>
        </w:rPr>
        <w:t>ethisch-werthaften Individualismus</w:t>
      </w:r>
      <w:r w:rsidRPr="00427FA4">
        <w:rPr>
          <w:i/>
          <w:iCs/>
          <w:lang w:val="de-AT"/>
        </w:rPr>
        <w:t xml:space="preserve"> </w:t>
      </w:r>
      <w:r>
        <w:rPr>
          <w:lang w:val="de-AT"/>
        </w:rPr>
        <w:t>gemeinsam b</w:t>
      </w:r>
      <w:r w:rsidRPr="00C40070">
        <w:rPr>
          <w:lang w:val="de-AT"/>
        </w:rPr>
        <w:t xml:space="preserve">eizubehalten. </w:t>
      </w:r>
      <w:r w:rsidRPr="00705E74">
        <w:rPr>
          <w:lang w:val="de-AT"/>
        </w:rPr>
        <w:t xml:space="preserve">In einem solchen Szenario laufen die auch häufigen Rufe nach einer </w:t>
      </w:r>
      <w:r>
        <w:rPr>
          <w:lang w:val="de-AT"/>
        </w:rPr>
        <w:t>„</w:t>
      </w:r>
      <w:r w:rsidRPr="00705E74">
        <w:rPr>
          <w:lang w:val="de-AT"/>
        </w:rPr>
        <w:t>Rhetorik der Solidarität</w:t>
      </w:r>
      <w:r>
        <w:rPr>
          <w:lang w:val="de-AT"/>
        </w:rPr>
        <w:t>“</w:t>
      </w:r>
      <w:r w:rsidRPr="00705E74">
        <w:rPr>
          <w:lang w:val="de-AT"/>
        </w:rPr>
        <w:t xml:space="preserve"> Gefahr, durch die Verbindung von tiefgehenden Botschaften neutralisiert zu werden, die in eine ganz andere Richtung weisen.</w:t>
      </w:r>
    </w:p>
    <w:p w:rsidR="007C79D2" w:rsidRPr="00705E74" w:rsidRDefault="007C79D2" w:rsidP="007C79D2">
      <w:pPr>
        <w:pStyle w:val="Default"/>
        <w:jc w:val="both"/>
        <w:rPr>
          <w:rFonts w:ascii="Times New Roman" w:hAnsi="Times New Roman" w:cs="Times New Roman"/>
          <w:b/>
          <w:color w:val="auto"/>
        </w:rPr>
      </w:pPr>
    </w:p>
    <w:p w:rsidR="007C79D2" w:rsidRPr="00D50FFA" w:rsidRDefault="007C79D2" w:rsidP="007C79D2">
      <w:pPr>
        <w:pStyle w:val="Default"/>
        <w:jc w:val="both"/>
        <w:rPr>
          <w:rFonts w:ascii="Times New Roman" w:hAnsi="Times New Roman" w:cs="Times New Roman"/>
          <w:b/>
          <w:color w:val="auto"/>
        </w:rPr>
      </w:pPr>
      <w:r>
        <w:rPr>
          <w:rFonts w:ascii="Times New Roman" w:hAnsi="Times New Roman" w:cs="Times New Roman"/>
          <w:b/>
          <w:color w:val="auto"/>
        </w:rPr>
        <w:t xml:space="preserve">Gesellschaftlicher </w:t>
      </w:r>
      <w:r w:rsidRPr="00D50FFA">
        <w:rPr>
          <w:rFonts w:ascii="Times New Roman" w:hAnsi="Times New Roman" w:cs="Times New Roman"/>
          <w:b/>
          <w:color w:val="auto"/>
        </w:rPr>
        <w:t>Fun</w:t>
      </w:r>
      <w:r>
        <w:rPr>
          <w:rFonts w:ascii="Times New Roman" w:hAnsi="Times New Roman" w:cs="Times New Roman"/>
          <w:b/>
          <w:color w:val="auto"/>
        </w:rPr>
        <w:t>kt</w:t>
      </w:r>
      <w:r w:rsidRPr="00D50FFA">
        <w:rPr>
          <w:rFonts w:ascii="Times New Roman" w:hAnsi="Times New Roman" w:cs="Times New Roman"/>
          <w:b/>
          <w:color w:val="auto"/>
        </w:rPr>
        <w:t>ionalism</w:t>
      </w:r>
      <w:r>
        <w:rPr>
          <w:rFonts w:ascii="Times New Roman" w:hAnsi="Times New Roman" w:cs="Times New Roman"/>
          <w:b/>
          <w:color w:val="auto"/>
        </w:rPr>
        <w:t>us</w:t>
      </w:r>
      <w:r w:rsidRPr="00D50FFA">
        <w:rPr>
          <w:rFonts w:ascii="Times New Roman" w:hAnsi="Times New Roman" w:cs="Times New Roman"/>
          <w:b/>
          <w:color w:val="auto"/>
        </w:rPr>
        <w:t xml:space="preserve"> </w:t>
      </w:r>
    </w:p>
    <w:p w:rsidR="007C79D2" w:rsidRPr="00705E74" w:rsidRDefault="007C79D2" w:rsidP="007C79D2">
      <w:pPr>
        <w:rPr>
          <w:lang w:val="de-AT"/>
        </w:rPr>
      </w:pPr>
      <w:r w:rsidRPr="00B84515">
        <w:rPr>
          <w:lang w:val="de-AT"/>
        </w:rPr>
        <w:t xml:space="preserve">Die heutige Kultur tendiert dahin, die Bildung auf die </w:t>
      </w:r>
      <w:r>
        <w:rPr>
          <w:lang w:val="de-AT"/>
        </w:rPr>
        <w:t>„</w:t>
      </w:r>
      <w:r w:rsidRPr="00B84515">
        <w:rPr>
          <w:lang w:val="de-AT"/>
        </w:rPr>
        <w:t>Anforderungen</w:t>
      </w:r>
      <w:r>
        <w:rPr>
          <w:lang w:val="de-AT"/>
        </w:rPr>
        <w:t>“</w:t>
      </w:r>
      <w:r w:rsidRPr="00B84515">
        <w:rPr>
          <w:lang w:val="de-AT"/>
        </w:rPr>
        <w:t xml:space="preserve"> der Arbeitswelt auszurichten, so sehr</w:t>
      </w:r>
      <w:r>
        <w:rPr>
          <w:lang w:val="de-AT"/>
        </w:rPr>
        <w:t>,</w:t>
      </w:r>
      <w:r w:rsidRPr="00B84515">
        <w:rPr>
          <w:lang w:val="de-AT"/>
        </w:rPr>
        <w:t xml:space="preserve"> dass sehr oft die Wahlentscheidungen der Jugendlichen (ausgehend von ihren speziellen Studien) </w:t>
      </w:r>
      <w:r>
        <w:rPr>
          <w:lang w:val="de-AT"/>
        </w:rPr>
        <w:t>dazu neigen, sich Kriterien der</w:t>
      </w:r>
      <w:r w:rsidRPr="00B84515">
        <w:rPr>
          <w:lang w:val="de-AT"/>
        </w:rPr>
        <w:t xml:space="preserve"> funktion</w:t>
      </w:r>
      <w:r>
        <w:rPr>
          <w:lang w:val="de-AT"/>
        </w:rPr>
        <w:t>alen Art zu fügen, die auf die Frage antworten</w:t>
      </w:r>
      <w:r w:rsidRPr="00B84515">
        <w:rPr>
          <w:lang w:val="de-AT"/>
        </w:rPr>
        <w:t>: </w:t>
      </w:r>
      <w:r>
        <w:rPr>
          <w:lang w:val="de-AT"/>
        </w:rPr>
        <w:t>„Was ist das Nützlichere?“, wenn man eine gute und machbare berufliche Eingliederung berücksichtigt</w:t>
      </w:r>
      <w:r w:rsidRPr="00B84515">
        <w:rPr>
          <w:lang w:val="de-AT"/>
        </w:rPr>
        <w:t xml:space="preserve">. </w:t>
      </w:r>
      <w:r w:rsidRPr="00705E74">
        <w:rPr>
          <w:lang w:val="de-AT"/>
        </w:rPr>
        <w:t>Auch auf der Ebene der internationalen Empfehlungen</w:t>
      </w:r>
      <w:r>
        <w:rPr>
          <w:lang w:val="de-AT"/>
        </w:rPr>
        <w:t>, wen</w:t>
      </w:r>
      <w:r w:rsidRPr="00705E74">
        <w:rPr>
          <w:lang w:val="de-AT"/>
        </w:rPr>
        <w:t>n die Bedeutung der Bildung unterstrichen wird (und manchmal spricht man ausdrücklich von lebenslanger Bildung, nicht nur von Ausbildung und Weiterbildung</w:t>
      </w:r>
      <w:r>
        <w:rPr>
          <w:lang w:val="de-AT"/>
        </w:rPr>
        <w:t>), wird das bestärkt durch das „funktionelle“ Merkmal, das sie für die verirrten Bewohner der Komplexität haben kann</w:t>
      </w:r>
      <w:r w:rsidRPr="00705E74">
        <w:rPr>
          <w:lang w:val="de-AT"/>
        </w:rPr>
        <w:t>.</w:t>
      </w:r>
    </w:p>
    <w:p w:rsidR="007C79D2" w:rsidRPr="00705E74" w:rsidRDefault="007C79D2" w:rsidP="007C79D2">
      <w:pPr>
        <w:rPr>
          <w:lang w:val="de-AT"/>
        </w:rPr>
      </w:pPr>
    </w:p>
    <w:p w:rsidR="007C79D2" w:rsidRPr="00C15DB7" w:rsidRDefault="007C79D2" w:rsidP="007C79D2">
      <w:pPr>
        <w:pStyle w:val="Default"/>
        <w:jc w:val="both"/>
        <w:rPr>
          <w:rFonts w:ascii="Times New Roman" w:hAnsi="Times New Roman" w:cs="Times New Roman"/>
          <w:color w:val="auto"/>
          <w:lang w:val="it-IT"/>
        </w:rPr>
      </w:pPr>
      <w:r w:rsidRPr="00217CAC">
        <w:rPr>
          <w:rFonts w:ascii="Times New Roman" w:hAnsi="Times New Roman" w:cs="Times New Roman"/>
          <w:color w:val="auto"/>
        </w:rPr>
        <w:t xml:space="preserve">Die Europäische Kommission </w:t>
      </w:r>
      <w:r>
        <w:rPr>
          <w:rFonts w:ascii="Times New Roman" w:hAnsi="Times New Roman" w:cs="Times New Roman"/>
          <w:color w:val="auto"/>
        </w:rPr>
        <w:t>hat auf eine andere utopi</w:t>
      </w:r>
      <w:r w:rsidRPr="00217CAC">
        <w:rPr>
          <w:rFonts w:ascii="Times New Roman" w:hAnsi="Times New Roman" w:cs="Times New Roman"/>
          <w:color w:val="auto"/>
        </w:rPr>
        <w:t>sche Idee hingewiesen: eine erziehe</w:t>
      </w:r>
      <w:r>
        <w:rPr>
          <w:rFonts w:ascii="Times New Roman" w:hAnsi="Times New Roman" w:cs="Times New Roman"/>
          <w:color w:val="auto"/>
        </w:rPr>
        <w:t>n</w:t>
      </w:r>
      <w:r w:rsidRPr="00217CAC">
        <w:rPr>
          <w:rFonts w:ascii="Times New Roman" w:hAnsi="Times New Roman" w:cs="Times New Roman"/>
          <w:color w:val="auto"/>
        </w:rPr>
        <w:t>de Gesellschaft, die auf den Erwerb, die Aktualisierung und die Anwe</w:t>
      </w:r>
      <w:r>
        <w:rPr>
          <w:rFonts w:ascii="Times New Roman" w:hAnsi="Times New Roman" w:cs="Times New Roman"/>
          <w:color w:val="auto"/>
        </w:rPr>
        <w:t>n</w:t>
      </w:r>
      <w:r w:rsidRPr="00217CAC">
        <w:rPr>
          <w:rFonts w:ascii="Times New Roman" w:hAnsi="Times New Roman" w:cs="Times New Roman"/>
          <w:color w:val="auto"/>
        </w:rPr>
        <w:t xml:space="preserve">dung </w:t>
      </w:r>
      <w:r>
        <w:rPr>
          <w:rFonts w:ascii="Times New Roman" w:hAnsi="Times New Roman" w:cs="Times New Roman"/>
          <w:color w:val="auto"/>
        </w:rPr>
        <w:t>des Wissens gegründet ist</w:t>
      </w:r>
      <w:r w:rsidRPr="00217CAC">
        <w:rPr>
          <w:rFonts w:ascii="Times New Roman" w:hAnsi="Times New Roman" w:cs="Times New Roman"/>
          <w:color w:val="auto"/>
        </w:rPr>
        <w:t xml:space="preserve">. </w:t>
      </w:r>
      <w:r>
        <w:rPr>
          <w:rFonts w:ascii="Times New Roman" w:hAnsi="Times New Roman" w:cs="Times New Roman"/>
          <w:color w:val="auto"/>
        </w:rPr>
        <w:t>Es handelt sich um drei Aspekte, die im Bildungsprozess unterstrichen werden müssten</w:t>
      </w:r>
      <w:r w:rsidRPr="00217CAC">
        <w:rPr>
          <w:rFonts w:ascii="Times New Roman" w:hAnsi="Times New Roman" w:cs="Times New Roman"/>
          <w:color w:val="auto"/>
        </w:rPr>
        <w:t xml:space="preserve">. </w:t>
      </w:r>
      <w:r w:rsidRPr="00B61C5E">
        <w:rPr>
          <w:rFonts w:ascii="Times New Roman" w:hAnsi="Times New Roman" w:cs="Times New Roman"/>
          <w:color w:val="auto"/>
        </w:rPr>
        <w:t xml:space="preserve">Da die Entwicklung der </w:t>
      </w:r>
      <w:r>
        <w:rPr>
          <w:rFonts w:ascii="Times New Roman" w:hAnsi="Times New Roman" w:cs="Times New Roman"/>
          <w:color w:val="auto"/>
        </w:rPr>
        <w:t>„</w:t>
      </w:r>
      <w:r w:rsidRPr="00B61C5E">
        <w:rPr>
          <w:rFonts w:ascii="Times New Roman" w:hAnsi="Times New Roman" w:cs="Times New Roman"/>
          <w:color w:val="auto"/>
        </w:rPr>
        <w:t>Informationsgesellschaft</w:t>
      </w:r>
      <w:r>
        <w:rPr>
          <w:rFonts w:ascii="Times New Roman" w:hAnsi="Times New Roman" w:cs="Times New Roman"/>
          <w:color w:val="auto"/>
        </w:rPr>
        <w:t>“</w:t>
      </w:r>
      <w:r w:rsidRPr="00B61C5E">
        <w:rPr>
          <w:rFonts w:ascii="Times New Roman" w:hAnsi="Times New Roman" w:cs="Times New Roman"/>
          <w:color w:val="auto"/>
        </w:rPr>
        <w:t xml:space="preserve"> die Möglichkeiten des Zugangs zu Daten und Fakten ständig vermehrt, </w:t>
      </w:r>
      <w:r>
        <w:rPr>
          <w:rFonts w:ascii="Times New Roman" w:hAnsi="Times New Roman" w:cs="Times New Roman"/>
          <w:color w:val="auto"/>
        </w:rPr>
        <w:t>müsste die Bi</w:t>
      </w:r>
      <w:r w:rsidRPr="00B61C5E">
        <w:rPr>
          <w:rFonts w:ascii="Times New Roman" w:hAnsi="Times New Roman" w:cs="Times New Roman"/>
          <w:color w:val="auto"/>
        </w:rPr>
        <w:t xml:space="preserve">ldung </w:t>
      </w:r>
      <w:r>
        <w:rPr>
          <w:rFonts w:ascii="Times New Roman" w:hAnsi="Times New Roman" w:cs="Times New Roman"/>
          <w:color w:val="auto"/>
        </w:rPr>
        <w:t>alle in die Lage versetzen, Informationen zu sammeln, sie auszuwählen, zu ordnen, zu bearbeiten und zu verwenden</w:t>
      </w:r>
      <w:r w:rsidRPr="00B61C5E">
        <w:rPr>
          <w:rFonts w:ascii="Times New Roman" w:hAnsi="Times New Roman" w:cs="Times New Roman"/>
          <w:color w:val="auto"/>
        </w:rPr>
        <w:t xml:space="preserve">. </w:t>
      </w:r>
      <w:r w:rsidRPr="00CA0DFD">
        <w:rPr>
          <w:rFonts w:ascii="Times New Roman" w:hAnsi="Times New Roman" w:cs="Times New Roman"/>
          <w:color w:val="auto"/>
          <w:lang w:val="it-IT"/>
        </w:rPr>
        <w:t xml:space="preserve">[J. Delors (a cura di), </w:t>
      </w:r>
      <w:r w:rsidRPr="00CA0DFD">
        <w:rPr>
          <w:rFonts w:ascii="Times New Roman" w:hAnsi="Times New Roman" w:cs="Times New Roman"/>
          <w:i/>
          <w:iCs/>
          <w:color w:val="auto"/>
          <w:lang w:val="it-IT"/>
        </w:rPr>
        <w:t>Nell’educazione un tesoro</w:t>
      </w:r>
      <w:r>
        <w:rPr>
          <w:lang w:val="it-IT"/>
        </w:rPr>
        <w:t>, Roma 1997, S. 19]</w:t>
      </w:r>
    </w:p>
    <w:p w:rsidR="007C79D2" w:rsidRPr="00D50FFA" w:rsidRDefault="007C79D2" w:rsidP="007C79D2">
      <w:pPr>
        <w:pStyle w:val="Default"/>
        <w:jc w:val="both"/>
        <w:rPr>
          <w:rFonts w:ascii="Times New Roman" w:hAnsi="Times New Roman" w:cs="Times New Roman"/>
          <w:b/>
          <w:color w:val="auto"/>
          <w:lang w:val="it-IT"/>
        </w:rPr>
      </w:pPr>
    </w:p>
    <w:p w:rsidR="007C79D2" w:rsidRPr="00D50FFA" w:rsidRDefault="007C79D2" w:rsidP="007C79D2">
      <w:pPr>
        <w:pStyle w:val="Default"/>
        <w:jc w:val="both"/>
        <w:rPr>
          <w:rFonts w:ascii="Times New Roman" w:hAnsi="Times New Roman" w:cs="Times New Roman"/>
          <w:b/>
          <w:color w:val="auto"/>
        </w:rPr>
      </w:pPr>
      <w:r>
        <w:rPr>
          <w:rFonts w:ascii="Times New Roman" w:hAnsi="Times New Roman" w:cs="Times New Roman"/>
          <w:b/>
          <w:color w:val="auto"/>
        </w:rPr>
        <w:t>Ethischer Individualismus</w:t>
      </w:r>
      <w:r w:rsidRPr="00D50FFA">
        <w:rPr>
          <w:rFonts w:ascii="Times New Roman" w:hAnsi="Times New Roman" w:cs="Times New Roman"/>
          <w:b/>
          <w:color w:val="auto"/>
        </w:rPr>
        <w:t xml:space="preserve"> </w:t>
      </w:r>
    </w:p>
    <w:p w:rsidR="007C79D2" w:rsidRPr="00367112" w:rsidRDefault="007C79D2" w:rsidP="007C79D2">
      <w:r w:rsidRPr="00123818">
        <w:rPr>
          <w:lang w:val="de-AT"/>
        </w:rPr>
        <w:t xml:space="preserve">Wenn man sich andererseits fragt, was die repräsentativsten </w:t>
      </w:r>
      <w:r>
        <w:rPr>
          <w:lang w:val="de-AT"/>
        </w:rPr>
        <w:t>„</w:t>
      </w:r>
      <w:r w:rsidRPr="00123818">
        <w:rPr>
          <w:lang w:val="de-AT"/>
        </w:rPr>
        <w:t>beruflichen Werte</w:t>
      </w:r>
      <w:r>
        <w:rPr>
          <w:lang w:val="de-AT"/>
        </w:rPr>
        <w:t>“</w:t>
      </w:r>
      <w:r w:rsidRPr="00123818">
        <w:rPr>
          <w:lang w:val="de-AT"/>
        </w:rPr>
        <w:t xml:space="preserve"> </w:t>
      </w:r>
      <w:r>
        <w:rPr>
          <w:lang w:val="de-AT"/>
        </w:rPr>
        <w:t xml:space="preserve">unter denen </w:t>
      </w:r>
      <w:r w:rsidRPr="00123818">
        <w:rPr>
          <w:lang w:val="de-AT"/>
        </w:rPr>
        <w:t xml:space="preserve">sind, die man sich am meisten als Antwort auf die persönlichen Erwartungen an die Arbeit vorstellt, dann </w:t>
      </w:r>
      <w:r>
        <w:rPr>
          <w:lang w:val="de-AT"/>
        </w:rPr>
        <w:t xml:space="preserve">tauchen meist </w:t>
      </w:r>
      <w:r w:rsidRPr="00123818">
        <w:rPr>
          <w:lang w:val="de-AT"/>
        </w:rPr>
        <w:t>Motivationen pragmatischer Art (wirtschaftliche) oder persönlicher Befriedigung (individua</w:t>
      </w:r>
      <w:r>
        <w:rPr>
          <w:lang w:val="de-AT"/>
        </w:rPr>
        <w:t xml:space="preserve">listische) </w:t>
      </w:r>
      <w:r w:rsidRPr="00123818">
        <w:rPr>
          <w:lang w:val="de-AT"/>
        </w:rPr>
        <w:t xml:space="preserve">auf. </w:t>
      </w:r>
      <w:r w:rsidRPr="00FA7DB4">
        <w:rPr>
          <w:lang w:val="de-AT"/>
        </w:rPr>
        <w:t xml:space="preserve">Der Sinn scheint sich </w:t>
      </w:r>
      <w:r>
        <w:rPr>
          <w:lang w:val="de-AT"/>
        </w:rPr>
        <w:t>von der gesell</w:t>
      </w:r>
      <w:r w:rsidRPr="00FA7DB4">
        <w:rPr>
          <w:lang w:val="de-AT"/>
        </w:rPr>
        <w:t xml:space="preserve">schaftlichen Funktion der Arbeit zu lösen, von dem Beitrag, den sie für den Aufbau der Stadt der Menschen leisten kann, für die </w:t>
      </w:r>
      <w:r w:rsidRPr="00B86127">
        <w:rPr>
          <w:lang w:val="de-AT"/>
        </w:rPr>
        <w:t xml:space="preserve">Verwirklichung eines Gemeinwohls, das über den winzigen Horizont der subjektiven Befriedigung der Einzelnen hinaus geht. </w:t>
      </w:r>
      <w:r w:rsidRPr="00367112">
        <w:t xml:space="preserve">Auch kürzlich durchgeführte Forschungen bestätigen diese doppelte Tendenz. [M. Bortolotto, A. Porcarelli (2015), </w:t>
      </w:r>
      <w:r w:rsidRPr="00367112">
        <w:rPr>
          <w:i/>
          <w:iCs/>
        </w:rPr>
        <w:t>L'orientamento tra identità personale e cultura del lavoro. Prospettive di ricerca sul ruolo della scuola in adolescenza</w:t>
      </w:r>
      <w:r w:rsidRPr="00367112">
        <w:t>, in: CQIA Rivista, Formazione, lavoro, persona; n. 13, März 2015, S. 1-40 - http://www00.unibg.it/dati/bacheca/1029/73612.pdf ]</w:t>
      </w:r>
    </w:p>
    <w:p w:rsidR="007C79D2" w:rsidRPr="00367112" w:rsidRDefault="007C79D2" w:rsidP="007C79D2">
      <w:pPr>
        <w:pStyle w:val="Default"/>
        <w:jc w:val="both"/>
        <w:rPr>
          <w:rFonts w:ascii="Times New Roman" w:hAnsi="Times New Roman" w:cs="Times New Roman"/>
          <w:lang w:val="it-IT"/>
        </w:rPr>
      </w:pPr>
    </w:p>
    <w:p w:rsidR="007C79D2" w:rsidRPr="00B86127" w:rsidRDefault="007C79D2" w:rsidP="007C79D2">
      <w:pPr>
        <w:pStyle w:val="Default"/>
        <w:jc w:val="both"/>
        <w:rPr>
          <w:rFonts w:ascii="Times New Roman" w:hAnsi="Times New Roman" w:cs="Times New Roman"/>
          <w:b/>
          <w:color w:val="auto"/>
        </w:rPr>
      </w:pPr>
      <w:r w:rsidRPr="00B86127">
        <w:rPr>
          <w:rFonts w:ascii="Times New Roman" w:hAnsi="Times New Roman" w:cs="Times New Roman"/>
          <w:b/>
          <w:color w:val="auto"/>
        </w:rPr>
        <w:t xml:space="preserve">Strategien in der Erziehung und Bildung </w:t>
      </w:r>
    </w:p>
    <w:p w:rsidR="007C79D2" w:rsidRPr="00AF3671" w:rsidRDefault="007C79D2" w:rsidP="007C79D2">
      <w:pPr>
        <w:rPr>
          <w:lang w:val="de-AT"/>
        </w:rPr>
      </w:pPr>
      <w:r w:rsidRPr="00B86127">
        <w:rPr>
          <w:lang w:val="de-AT"/>
        </w:rPr>
        <w:t>Auf der Ebene der Strategien in Erziehung und Bildung könnte man viel über die Notwendigkeit sagen, der funktionalistischen</w:t>
      </w:r>
      <w:r w:rsidRPr="00AF3671">
        <w:rPr>
          <w:lang w:val="de-AT"/>
        </w:rPr>
        <w:t xml:space="preserve"> Tendenz entgegenzutreten, die sich in der akademischen Bildung zeigt, die </w:t>
      </w:r>
      <w:r>
        <w:rPr>
          <w:lang w:val="de-AT"/>
        </w:rPr>
        <w:t>sich jedoch</w:t>
      </w:r>
      <w:r w:rsidRPr="00AF3671">
        <w:rPr>
          <w:lang w:val="de-AT"/>
        </w:rPr>
        <w:t xml:space="preserve"> in einer gewissen Form </w:t>
      </w:r>
      <w:r>
        <w:rPr>
          <w:lang w:val="de-AT"/>
        </w:rPr>
        <w:t>als Fortsetzung einer utilitaristischen Vision des Studiums darstellt, die oft schon in der Mittelschule oder der Sekundaroberstufe reift</w:t>
      </w:r>
      <w:r w:rsidRPr="00AF3671">
        <w:rPr>
          <w:lang w:val="de-AT"/>
        </w:rPr>
        <w:t>.</w:t>
      </w:r>
    </w:p>
    <w:p w:rsidR="007C79D2" w:rsidRPr="00782588" w:rsidRDefault="007C79D2" w:rsidP="007C79D2">
      <w:pPr>
        <w:rPr>
          <w:lang w:val="de-AT"/>
        </w:rPr>
      </w:pPr>
      <w:r w:rsidRPr="00AF3671">
        <w:rPr>
          <w:lang w:val="de-AT"/>
        </w:rPr>
        <w:t xml:space="preserve">Daneben scheint es uns wichtig, Bildungszusammenhänge vorzubereiten, die schon früh </w:t>
      </w:r>
      <w:r>
        <w:rPr>
          <w:lang w:val="de-AT"/>
        </w:rPr>
        <w:t xml:space="preserve">im Auge haben, </w:t>
      </w:r>
      <w:r w:rsidRPr="00AF3671">
        <w:rPr>
          <w:lang w:val="de-AT"/>
        </w:rPr>
        <w:t xml:space="preserve">den erzieherischen und bildenden Wert der Arbeit </w:t>
      </w:r>
      <w:r>
        <w:rPr>
          <w:lang w:val="de-AT"/>
        </w:rPr>
        <w:t>zu schätzen, vom zarten Alter angefangen</w:t>
      </w:r>
      <w:r w:rsidRPr="00AF3671">
        <w:rPr>
          <w:lang w:val="de-AT"/>
        </w:rPr>
        <w:t xml:space="preserve">. </w:t>
      </w:r>
      <w:r w:rsidRPr="00782588">
        <w:rPr>
          <w:lang w:val="de-AT"/>
        </w:rPr>
        <w:t>Es wäre wichtig, klar formulierte Strategien der Erforschung von Berufen auszuarbeiten, wo die Kinder selbst in unterschiedlichen beruflichen Zusammenhängen experimentieren könnten und sowohl in der Schule gelernte Kompetenzen</w:t>
      </w:r>
      <w:r>
        <w:rPr>
          <w:lang w:val="de-AT"/>
        </w:rPr>
        <w:t xml:space="preserve"> erproben könnten als auch vor allem ihr besonderes</w:t>
      </w:r>
      <w:r w:rsidRPr="00782588">
        <w:rPr>
          <w:lang w:val="de-AT"/>
        </w:rPr>
        <w:t xml:space="preserve"> </w:t>
      </w:r>
      <w:r>
        <w:rPr>
          <w:lang w:val="de-AT"/>
        </w:rPr>
        <w:t>Einfühlungsvermögen, ihre Fähigkeit, sich in diese Zusammenhänge einzugliedern und dort mit Gewinn und – warum nicht – mit Vergnügen und mit Freude zu arbeiten</w:t>
      </w:r>
      <w:r w:rsidRPr="00782588">
        <w:rPr>
          <w:lang w:val="de-AT"/>
        </w:rPr>
        <w:t xml:space="preserve">. </w:t>
      </w:r>
    </w:p>
    <w:p w:rsidR="007C79D2" w:rsidRPr="00BA370D" w:rsidRDefault="007C79D2" w:rsidP="007C79D2">
      <w:pPr>
        <w:rPr>
          <w:lang w:val="de-AT"/>
        </w:rPr>
      </w:pPr>
    </w:p>
    <w:p w:rsidR="007C79D2" w:rsidRPr="008B59E9" w:rsidRDefault="007C79D2" w:rsidP="007C79D2">
      <w:pPr>
        <w:pStyle w:val="Default"/>
        <w:jc w:val="both"/>
        <w:rPr>
          <w:rFonts w:ascii="Times New Roman" w:hAnsi="Times New Roman" w:cs="Times New Roman"/>
          <w:b/>
          <w:color w:val="auto"/>
        </w:rPr>
      </w:pPr>
      <w:r w:rsidRPr="008B59E9">
        <w:rPr>
          <w:rFonts w:ascii="Times New Roman" w:hAnsi="Times New Roman" w:cs="Times New Roman"/>
          <w:b/>
          <w:color w:val="auto"/>
        </w:rPr>
        <w:t xml:space="preserve">Eine pädagogische und ideologische Diskussion  </w:t>
      </w:r>
    </w:p>
    <w:p w:rsidR="007C79D2" w:rsidRPr="00BA370D" w:rsidRDefault="007C79D2" w:rsidP="007C79D2">
      <w:pPr>
        <w:pStyle w:val="Default"/>
        <w:jc w:val="both"/>
        <w:rPr>
          <w:rFonts w:ascii="Times New Roman" w:hAnsi="Times New Roman" w:cs="Times New Roman"/>
          <w:color w:val="auto"/>
          <w:lang w:val="it-IT"/>
        </w:rPr>
      </w:pPr>
      <w:r w:rsidRPr="008B59E9">
        <w:rPr>
          <w:rFonts w:ascii="Times New Roman" w:hAnsi="Times New Roman" w:cs="Times New Roman"/>
          <w:color w:val="auto"/>
        </w:rPr>
        <w:t>Die Di</w:t>
      </w:r>
      <w:r>
        <w:rPr>
          <w:rFonts w:ascii="Times New Roman" w:hAnsi="Times New Roman" w:cs="Times New Roman"/>
          <w:color w:val="auto"/>
        </w:rPr>
        <w:t>s</w:t>
      </w:r>
      <w:r w:rsidRPr="008B59E9">
        <w:rPr>
          <w:rFonts w:ascii="Times New Roman" w:hAnsi="Times New Roman" w:cs="Times New Roman"/>
          <w:color w:val="auto"/>
        </w:rPr>
        <w:t>k</w:t>
      </w:r>
      <w:r>
        <w:rPr>
          <w:rFonts w:ascii="Times New Roman" w:hAnsi="Times New Roman" w:cs="Times New Roman"/>
          <w:color w:val="auto"/>
        </w:rPr>
        <w:t>ussion über den erziehli</w:t>
      </w:r>
      <w:r w:rsidRPr="008B59E9">
        <w:rPr>
          <w:rFonts w:ascii="Times New Roman" w:hAnsi="Times New Roman" w:cs="Times New Roman"/>
          <w:color w:val="auto"/>
        </w:rPr>
        <w:t>chen Wert der Arbeit ist heute entflammt und lebendig und führt nicht immer einfach dazu, Positionen in ihren Unterschieden zusammenzustellen.</w:t>
      </w:r>
      <w:r>
        <w:rPr>
          <w:rFonts w:ascii="Times New Roman" w:hAnsi="Times New Roman" w:cs="Times New Roman"/>
          <w:color w:val="auto"/>
        </w:rPr>
        <w:t xml:space="preserve"> </w:t>
      </w:r>
      <w:r w:rsidRPr="008B59E9">
        <w:rPr>
          <w:rFonts w:ascii="Times New Roman" w:hAnsi="Times New Roman" w:cs="Times New Roman"/>
          <w:color w:val="auto"/>
        </w:rPr>
        <w:t>Da gibt es die, die der Arbeit eine erziehliche und bildende Funktion zuweist, die ihre Früchte bis zu Ende des Entwicklungsalters bringen kann und sich deshalb mit den Schullaufbahnen v</w:t>
      </w:r>
      <w:r>
        <w:rPr>
          <w:rFonts w:ascii="Times New Roman" w:hAnsi="Times New Roman" w:cs="Times New Roman"/>
          <w:color w:val="auto"/>
        </w:rPr>
        <w:t>e</w:t>
      </w:r>
      <w:r w:rsidRPr="008B59E9">
        <w:rPr>
          <w:rFonts w:ascii="Times New Roman" w:hAnsi="Times New Roman" w:cs="Times New Roman"/>
          <w:color w:val="auto"/>
        </w:rPr>
        <w:t xml:space="preserve">rflechten kann, </w:t>
      </w:r>
      <w:r>
        <w:rPr>
          <w:rFonts w:ascii="Times New Roman" w:hAnsi="Times New Roman" w:cs="Times New Roman"/>
          <w:color w:val="auto"/>
        </w:rPr>
        <w:t>wenn sie in expliziter</w:t>
      </w:r>
      <w:r w:rsidRPr="008B59E9">
        <w:rPr>
          <w:rFonts w:ascii="Times New Roman" w:hAnsi="Times New Roman" w:cs="Times New Roman"/>
          <w:color w:val="auto"/>
        </w:rPr>
        <w:t xml:space="preserve"> </w:t>
      </w:r>
      <w:r>
        <w:rPr>
          <w:rFonts w:ascii="Times New Roman" w:hAnsi="Times New Roman" w:cs="Times New Roman"/>
          <w:color w:val="auto"/>
        </w:rPr>
        <w:t>Art und Weise die Möglichkeiten vorbildet, dieselben Laufbahnen der Sekundarschulbildung abwechselnd mit Erfahrungen in entgeltlicher Arbeit zu verwirklichen</w:t>
      </w:r>
      <w:r w:rsidRPr="008B59E9">
        <w:rPr>
          <w:rFonts w:ascii="Times New Roman" w:hAnsi="Times New Roman" w:cs="Times New Roman"/>
          <w:color w:val="auto"/>
        </w:rPr>
        <w:t xml:space="preserve">, </w:t>
      </w:r>
      <w:r>
        <w:rPr>
          <w:rFonts w:ascii="Times New Roman" w:hAnsi="Times New Roman" w:cs="Times New Roman"/>
          <w:color w:val="auto"/>
        </w:rPr>
        <w:t>die autonom und verantwortlich ausgewählt werden</w:t>
      </w:r>
      <w:r w:rsidRPr="008B59E9">
        <w:rPr>
          <w:rFonts w:ascii="Times New Roman" w:hAnsi="Times New Roman" w:cs="Times New Roman"/>
          <w:color w:val="auto"/>
        </w:rPr>
        <w:t xml:space="preserve">. </w:t>
      </w:r>
      <w:r w:rsidRPr="0000793F">
        <w:rPr>
          <w:rFonts w:ascii="Times New Roman" w:hAnsi="Times New Roman" w:cs="Times New Roman"/>
          <w:color w:val="auto"/>
        </w:rPr>
        <w:t xml:space="preserve">Da gibt es die andere, die in der Arbeit einen Raum der Verwirklichung des Erwachsenen sieht, sie aber im Entwicklungsalter mit Misstrauen betrachtet, wobei sie Geister der Vergangenheit hervorruft, in der Überzeugung, dass ein eventueller Vorschlag des Abwechselns von Schule und Arbeit </w:t>
      </w:r>
      <w:r>
        <w:rPr>
          <w:rFonts w:ascii="Times New Roman" w:hAnsi="Times New Roman" w:cs="Times New Roman"/>
          <w:color w:val="auto"/>
        </w:rPr>
        <w:t>„</w:t>
      </w:r>
      <w:r w:rsidRPr="0000793F">
        <w:rPr>
          <w:rFonts w:ascii="Times New Roman" w:hAnsi="Times New Roman" w:cs="Times New Roman"/>
          <w:color w:val="auto"/>
        </w:rPr>
        <w:t>sich als</w:t>
      </w:r>
      <w:r>
        <w:rPr>
          <w:rFonts w:ascii="Times New Roman" w:hAnsi="Times New Roman" w:cs="Times New Roman"/>
          <w:color w:val="auto"/>
        </w:rPr>
        <w:t xml:space="preserve"> </w:t>
      </w:r>
      <w:r w:rsidRPr="0000793F">
        <w:rPr>
          <w:rFonts w:ascii="Times New Roman" w:hAnsi="Times New Roman" w:cs="Times New Roman"/>
          <w:color w:val="auto"/>
        </w:rPr>
        <w:t>eine autorisierte Kinderarbeit</w:t>
      </w:r>
      <w:r>
        <w:rPr>
          <w:rFonts w:ascii="Times New Roman" w:hAnsi="Times New Roman" w:cs="Times New Roman"/>
          <w:color w:val="auto"/>
        </w:rPr>
        <w:t xml:space="preserve"> herausstellt, die nicht entgolten und ohne Rechte für die Schüler ist“, und dass „man nicht glauben kann, dass die Schulpflicht erfüllen, indem man zur Schule geht, das Gleiche ist wie sie erfüllen, indem man z. B. einen Kurs als Friseurlehrling besucht oder in einer Fabrik arbeitet“</w:t>
      </w:r>
      <w:r w:rsidRPr="00FD15CF">
        <w:rPr>
          <w:rFonts w:ascii="Times New Roman" w:hAnsi="Times New Roman" w:cs="Times New Roman"/>
          <w:color w:val="auto"/>
        </w:rPr>
        <w:t xml:space="preserve">. </w:t>
      </w:r>
      <w:r w:rsidRPr="00BA370D">
        <w:rPr>
          <w:rFonts w:ascii="Times New Roman" w:hAnsi="Times New Roman" w:cs="Times New Roman"/>
          <w:color w:val="auto"/>
          <w:lang w:val="it-IT"/>
        </w:rPr>
        <w:t xml:space="preserve">[R. Monteforte, </w:t>
      </w:r>
      <w:r w:rsidRPr="00BA370D">
        <w:rPr>
          <w:rFonts w:ascii="Times New Roman" w:hAnsi="Times New Roman" w:cs="Times New Roman"/>
          <w:i/>
          <w:iCs/>
          <w:color w:val="auto"/>
          <w:lang w:val="it-IT"/>
        </w:rPr>
        <w:t>Obbligo scolastico: l’ultimo bluff Moratti</w:t>
      </w:r>
      <w:r w:rsidRPr="00BA370D">
        <w:rPr>
          <w:rFonts w:ascii="Times New Roman" w:hAnsi="Times New Roman" w:cs="Times New Roman"/>
          <w:color w:val="auto"/>
          <w:lang w:val="it-IT"/>
        </w:rPr>
        <w:t xml:space="preserve">, «L’unità», 25. März 2005, S. 9] </w:t>
      </w:r>
    </w:p>
    <w:p w:rsidR="007C79D2" w:rsidRPr="00A64681" w:rsidRDefault="007C79D2" w:rsidP="007C79D2">
      <w:pPr>
        <w:rPr>
          <w:lang w:val="de-AT"/>
        </w:rPr>
      </w:pPr>
      <w:r w:rsidRPr="00A64681">
        <w:rPr>
          <w:lang w:val="de-AT"/>
        </w:rPr>
        <w:t xml:space="preserve">Da kehrt in paradoxer Form der alte Gegensatz zwischen </w:t>
      </w:r>
      <w:r>
        <w:rPr>
          <w:lang w:val="de-AT"/>
        </w:rPr>
        <w:t>„</w:t>
      </w:r>
      <w:r w:rsidRPr="00A64681">
        <w:rPr>
          <w:lang w:val="de-AT"/>
        </w:rPr>
        <w:t>otium</w:t>
      </w:r>
      <w:r>
        <w:rPr>
          <w:lang w:val="de-AT"/>
        </w:rPr>
        <w:t>“</w:t>
      </w:r>
      <w:r w:rsidRPr="00A64681">
        <w:rPr>
          <w:lang w:val="de-AT"/>
        </w:rPr>
        <w:t xml:space="preserve"> und </w:t>
      </w:r>
      <w:r>
        <w:rPr>
          <w:lang w:val="de-AT"/>
        </w:rPr>
        <w:t>„</w:t>
      </w:r>
      <w:r w:rsidRPr="00A64681">
        <w:rPr>
          <w:lang w:val="de-AT"/>
        </w:rPr>
        <w:t>negotium</w:t>
      </w:r>
      <w:r>
        <w:rPr>
          <w:lang w:val="de-AT"/>
        </w:rPr>
        <w:t>“</w:t>
      </w:r>
      <w:r w:rsidRPr="00A64681">
        <w:rPr>
          <w:lang w:val="de-AT"/>
        </w:rPr>
        <w:t xml:space="preserve"> zurück, in der lateinischen Bedeutung, </w:t>
      </w:r>
      <w:r>
        <w:rPr>
          <w:lang w:val="de-AT"/>
        </w:rPr>
        <w:t>übertragen in die Diskussion über die Rolle der Arbeit innerhalb der schulischen Bildung</w:t>
      </w:r>
      <w:r w:rsidRPr="00A64681">
        <w:rPr>
          <w:lang w:val="de-AT"/>
        </w:rPr>
        <w:t>.</w:t>
      </w:r>
    </w:p>
    <w:p w:rsidR="007C79D2" w:rsidRPr="00A64681" w:rsidRDefault="007C79D2" w:rsidP="007C79D2">
      <w:pPr>
        <w:pStyle w:val="Default"/>
        <w:jc w:val="both"/>
        <w:rPr>
          <w:rFonts w:ascii="Times New Roman" w:hAnsi="Times New Roman" w:cs="Times New Roman"/>
        </w:rPr>
      </w:pPr>
    </w:p>
    <w:p w:rsidR="007C79D2" w:rsidRPr="00B61C5E" w:rsidRDefault="007C79D2" w:rsidP="007C79D2">
      <w:pPr>
        <w:pStyle w:val="Default"/>
        <w:jc w:val="both"/>
        <w:rPr>
          <w:rFonts w:ascii="Times New Roman" w:hAnsi="Times New Roman" w:cs="Times New Roman"/>
          <w:b/>
          <w:color w:val="auto"/>
        </w:rPr>
      </w:pPr>
      <w:r>
        <w:rPr>
          <w:rFonts w:ascii="Times New Roman" w:hAnsi="Times New Roman" w:cs="Times New Roman"/>
          <w:b/>
          <w:color w:val="auto"/>
        </w:rPr>
        <w:t>Der Bildungs- und Erziehungswert der Arbeit</w:t>
      </w:r>
      <w:r w:rsidRPr="00B61C5E">
        <w:rPr>
          <w:rFonts w:ascii="Times New Roman" w:hAnsi="Times New Roman" w:cs="Times New Roman"/>
          <w:b/>
          <w:color w:val="auto"/>
        </w:rPr>
        <w:t xml:space="preserve"> </w:t>
      </w:r>
    </w:p>
    <w:p w:rsidR="007C79D2" w:rsidRPr="00583F10" w:rsidRDefault="007C79D2" w:rsidP="007C79D2">
      <w:pPr>
        <w:rPr>
          <w:lang w:val="de-AT"/>
        </w:rPr>
      </w:pPr>
      <w:r w:rsidRPr="00A64681">
        <w:rPr>
          <w:lang w:val="de-AT"/>
        </w:rPr>
        <w:t xml:space="preserve">Wenn die Eltern (ich denke z. B. </w:t>
      </w:r>
      <w:r>
        <w:rPr>
          <w:lang w:val="de-AT"/>
        </w:rPr>
        <w:t>an die Bauern im Apenn</w:t>
      </w:r>
      <w:r w:rsidRPr="00A64681">
        <w:rPr>
          <w:lang w:val="de-AT"/>
        </w:rPr>
        <w:t>in) die Kinder ihren eigenen B</w:t>
      </w:r>
      <w:r>
        <w:rPr>
          <w:lang w:val="de-AT"/>
        </w:rPr>
        <w:t>eruf gelehrt haben, haben sie</w:t>
      </w:r>
      <w:r w:rsidRPr="00A64681">
        <w:rPr>
          <w:lang w:val="de-AT"/>
        </w:rPr>
        <w:t xml:space="preserve"> </w:t>
      </w:r>
      <w:r>
        <w:rPr>
          <w:lang w:val="de-AT"/>
        </w:rPr>
        <w:t>tatsächlich</w:t>
      </w:r>
      <w:r w:rsidRPr="00A64681">
        <w:rPr>
          <w:lang w:val="de-AT"/>
        </w:rPr>
        <w:t xml:space="preserve"> die Gelegenheit genützt, in diese Bildung auch eine wahre und </w:t>
      </w:r>
      <w:r>
        <w:rPr>
          <w:lang w:val="de-AT"/>
        </w:rPr>
        <w:t>wirkliche</w:t>
      </w:r>
      <w:r w:rsidRPr="00A64681">
        <w:rPr>
          <w:lang w:val="de-AT"/>
        </w:rPr>
        <w:t xml:space="preserve"> </w:t>
      </w:r>
      <w:r>
        <w:rPr>
          <w:lang w:val="de-AT"/>
        </w:rPr>
        <w:t>„</w:t>
      </w:r>
      <w:r w:rsidRPr="00A64681">
        <w:rPr>
          <w:lang w:val="de-AT"/>
        </w:rPr>
        <w:t>Lebensschule</w:t>
      </w:r>
      <w:r>
        <w:rPr>
          <w:lang w:val="de-AT"/>
        </w:rPr>
        <w:t>“</w:t>
      </w:r>
      <w:r w:rsidRPr="00A64681">
        <w:rPr>
          <w:lang w:val="de-AT"/>
        </w:rPr>
        <w:t xml:space="preserve"> einzufügen. </w:t>
      </w:r>
      <w:r>
        <w:rPr>
          <w:lang w:val="de-AT"/>
        </w:rPr>
        <w:t>Des Weiteren</w:t>
      </w:r>
      <w:r w:rsidRPr="00F75D57">
        <w:rPr>
          <w:lang w:val="de-AT"/>
        </w:rPr>
        <w:t xml:space="preserve"> ist die Arbeit der Ort der persönlichen Verpflichtung, an dem zahlreiche persönliche und gesellschaftliche Tugenden erprobt werden, an dem die Fähigkeit reift, sich mit Beständigkeit und Hingabe einzusetzen, aber auch die, in loyaler un</w:t>
      </w:r>
      <w:r>
        <w:rPr>
          <w:lang w:val="de-AT"/>
        </w:rPr>
        <w:t>d korrekter Art und Weise in de</w:t>
      </w:r>
      <w:r w:rsidRPr="00F75D57">
        <w:rPr>
          <w:lang w:val="de-AT"/>
        </w:rPr>
        <w:t xml:space="preserve">r </w:t>
      </w:r>
      <w:r>
        <w:rPr>
          <w:lang w:val="de-AT"/>
        </w:rPr>
        <w:t>Begegnung mit den Kollegen, dem Arbeitgeber, den anderen Personen (Mitbürgern) zu handeln</w:t>
      </w:r>
      <w:r w:rsidRPr="00F75D57">
        <w:rPr>
          <w:lang w:val="de-AT"/>
        </w:rPr>
        <w:t xml:space="preserve">, </w:t>
      </w:r>
      <w:r>
        <w:rPr>
          <w:lang w:val="de-AT"/>
        </w:rPr>
        <w:t>mit denen die Arbeit uns in Kontakt bringt</w:t>
      </w:r>
      <w:r w:rsidRPr="00F75D57">
        <w:rPr>
          <w:lang w:val="de-AT"/>
        </w:rPr>
        <w:t xml:space="preserve">. </w:t>
      </w:r>
      <w:r w:rsidRPr="00583F10">
        <w:rPr>
          <w:lang w:val="de-AT"/>
        </w:rPr>
        <w:t xml:space="preserve">Es handelt sich im Grunde um eine wahre und wirkliche </w:t>
      </w:r>
      <w:r>
        <w:rPr>
          <w:lang w:val="de-AT"/>
        </w:rPr>
        <w:t>„</w:t>
      </w:r>
      <w:r w:rsidRPr="00583F10">
        <w:rPr>
          <w:lang w:val="de-AT"/>
        </w:rPr>
        <w:t xml:space="preserve">Schule des Menschseins“, die erfolgt durch Eintauchen in reale Situationen, in denen die eventuellen (und häufig unausbleiblichen) Schwierigkeiten einen </w:t>
      </w:r>
      <w:r>
        <w:rPr>
          <w:lang w:val="de-AT"/>
        </w:rPr>
        <w:t>„</w:t>
      </w:r>
      <w:r w:rsidRPr="00583F10">
        <w:rPr>
          <w:lang w:val="de-AT"/>
        </w:rPr>
        <w:t>Mehrwert</w:t>
      </w:r>
      <w:r>
        <w:rPr>
          <w:lang w:val="de-AT"/>
        </w:rPr>
        <w:t>“</w:t>
      </w:r>
      <w:r w:rsidRPr="00583F10">
        <w:rPr>
          <w:lang w:val="de-AT"/>
        </w:rPr>
        <w:t xml:space="preserve"> darstellen: </w:t>
      </w:r>
      <w:r>
        <w:rPr>
          <w:lang w:val="de-AT"/>
        </w:rPr>
        <w:t>konkrete H</w:t>
      </w:r>
      <w:r w:rsidRPr="00583F10">
        <w:rPr>
          <w:lang w:val="de-AT"/>
        </w:rPr>
        <w:t>erausforderungen</w:t>
      </w:r>
      <w:r>
        <w:rPr>
          <w:lang w:val="de-AT"/>
        </w:rPr>
        <w:t xml:space="preserve">, auf die wir zu antworten gerufen werden, indem wir unsere besten Energien mobilisieren und mit den anderen zusammenarbeiten, wodurch </w:t>
      </w:r>
      <w:r w:rsidRPr="00583F10">
        <w:rPr>
          <w:lang w:val="de-AT"/>
        </w:rPr>
        <w:t xml:space="preserve">– </w:t>
      </w:r>
      <w:r>
        <w:rPr>
          <w:lang w:val="de-AT"/>
        </w:rPr>
        <w:t xml:space="preserve">um es mit </w:t>
      </w:r>
      <w:r w:rsidRPr="00583F10">
        <w:rPr>
          <w:lang w:val="de-AT"/>
        </w:rPr>
        <w:t xml:space="preserve">Agazzi </w:t>
      </w:r>
      <w:r>
        <w:rPr>
          <w:lang w:val="de-AT"/>
        </w:rPr>
        <w:t>zu sagen – „die Arbeit eine Lehrzeit und eine Gelegenheit ist, viele Tugenden zu erwerben und einzuwurzeln“.</w:t>
      </w:r>
    </w:p>
    <w:p w:rsidR="007C79D2" w:rsidRPr="00583F10" w:rsidRDefault="007C79D2" w:rsidP="007C79D2">
      <w:pPr>
        <w:autoSpaceDE w:val="0"/>
        <w:autoSpaceDN w:val="0"/>
        <w:adjustRightInd w:val="0"/>
        <w:rPr>
          <w:color w:val="000000"/>
          <w:lang w:val="de-AT"/>
        </w:rPr>
      </w:pPr>
    </w:p>
    <w:p w:rsidR="007C79D2" w:rsidRPr="008D0407" w:rsidRDefault="007C79D2" w:rsidP="007C79D2">
      <w:pPr>
        <w:autoSpaceDE w:val="0"/>
        <w:autoSpaceDN w:val="0"/>
        <w:adjustRightInd w:val="0"/>
        <w:rPr>
          <w:lang w:val="de-AT"/>
        </w:rPr>
      </w:pPr>
      <w:r w:rsidRPr="00D24283">
        <w:rPr>
          <w:lang w:val="de-AT"/>
        </w:rPr>
        <w:t>Die Arbeit ist eine grundlegende Dimension des menschlichen Lebens, weil sie der Person ermöglicht,</w:t>
      </w:r>
      <w:r>
        <w:rPr>
          <w:lang w:val="de-AT"/>
        </w:rPr>
        <w:t xml:space="preserve"> sich mit Aufgaben und Problemen</w:t>
      </w:r>
      <w:r w:rsidRPr="00D24283">
        <w:rPr>
          <w:lang w:val="de-AT"/>
        </w:rPr>
        <w:t xml:space="preserve"> zu messen, die sie herausfordern, die eigenen menschlichen Vorrechte hervorzurufen, mit dem Ziel, Bedürfnisse und Verlangen von anderen zu befriedigen, wirkungsvoll zum Prozess der Zivilis</w:t>
      </w:r>
      <w:r>
        <w:rPr>
          <w:lang w:val="de-AT"/>
        </w:rPr>
        <w:t>ation beizutragen, Wertschätzung und Beachtung zu erwerben, indem man auf diese Weise Anzeichen erhält, sich selbst zu erkennen und die Talente kennenzulernen, die sie in sich trägt</w:t>
      </w:r>
      <w:r w:rsidRPr="00D24283">
        <w:rPr>
          <w:lang w:val="de-AT"/>
        </w:rPr>
        <w:t xml:space="preserve">. </w:t>
      </w:r>
      <w:r w:rsidRPr="00BA370D">
        <w:rPr>
          <w:lang w:val="de-AT"/>
        </w:rPr>
        <w:t xml:space="preserve">[…] Das Handeln bei der Arbeit bietet vor allem eine moralische Zusatzbedeutung für Beziehungen: Der Nutzen wird </w:t>
      </w:r>
      <w:r>
        <w:rPr>
          <w:lang w:val="de-AT"/>
        </w:rPr>
        <w:t>mit Bezug auf den</w:t>
      </w:r>
      <w:r w:rsidRPr="00BA370D">
        <w:rPr>
          <w:lang w:val="de-AT"/>
        </w:rPr>
        <w:t xml:space="preserve"> Wert gesehen und daher </w:t>
      </w:r>
      <w:r>
        <w:rPr>
          <w:lang w:val="de-AT"/>
        </w:rPr>
        <w:t xml:space="preserve">auf den </w:t>
      </w:r>
      <w:r w:rsidRPr="00BA370D">
        <w:rPr>
          <w:lang w:val="de-AT"/>
        </w:rPr>
        <w:t>Vorteil</w:t>
      </w:r>
      <w:r>
        <w:rPr>
          <w:lang w:val="de-AT"/>
        </w:rPr>
        <w:t>, den sie für die anderen und für die Gesellschaft leistet</w:t>
      </w:r>
      <w:r w:rsidRPr="00BA370D">
        <w:rPr>
          <w:lang w:val="de-AT"/>
        </w:rPr>
        <w:t xml:space="preserve">. </w:t>
      </w:r>
      <w:r>
        <w:rPr>
          <w:lang w:val="de-AT"/>
        </w:rPr>
        <w:t>Sie ist zwischen der individuellen Welt und der gesellschaftlichen Welt</w:t>
      </w:r>
      <w:r w:rsidRPr="009F4BD7">
        <w:rPr>
          <w:lang w:val="de-AT"/>
        </w:rPr>
        <w:t>; sie ist Ordnun</w:t>
      </w:r>
      <w:r>
        <w:rPr>
          <w:lang w:val="de-AT"/>
        </w:rPr>
        <w:t>g, Vorstell</w:t>
      </w:r>
      <w:r w:rsidRPr="009F4BD7">
        <w:rPr>
          <w:lang w:val="de-AT"/>
        </w:rPr>
        <w:t>ung,</w:t>
      </w:r>
      <w:r>
        <w:rPr>
          <w:lang w:val="de-AT"/>
        </w:rPr>
        <w:t xml:space="preserve"> Bindegewebe der Gesellschaft</w:t>
      </w:r>
      <w:r w:rsidRPr="009F4BD7">
        <w:rPr>
          <w:lang w:val="de-AT"/>
        </w:rPr>
        <w:t xml:space="preserve">. </w:t>
      </w:r>
      <w:r w:rsidRPr="008D0407">
        <w:rPr>
          <w:lang w:val="de-AT"/>
        </w:rPr>
        <w:t>(D. Nicoli, 2014)</w:t>
      </w:r>
    </w:p>
    <w:p w:rsidR="007C79D2" w:rsidRPr="009F4BD7" w:rsidRDefault="007C79D2" w:rsidP="007C79D2">
      <w:r w:rsidRPr="00373844">
        <w:rPr>
          <w:lang w:val="de-AT"/>
        </w:rPr>
        <w:lastRenderedPageBreak/>
        <w:t xml:space="preserve">Zusammenfassend könnten wir sagen, dass es für eine Fahrt in mehr oder weniger aufgewühlten Wassern notwendig ist – um eine schönes Bild von Baden Powell zu verwenden –, </w:t>
      </w:r>
      <w:r>
        <w:rPr>
          <w:lang w:val="de-AT"/>
        </w:rPr>
        <w:t>„</w:t>
      </w:r>
      <w:r w:rsidRPr="00373844">
        <w:rPr>
          <w:lang w:val="de-AT"/>
        </w:rPr>
        <w:t xml:space="preserve">in der Lage zu sein, das eigene Kanu zu steuern, in dem Sinn, nicht von anderen in der Entscheidung abzuhängen, dem eigenen Leben die Richtung zu geben: Steuere du selbst dein Kanu. […] Geh weg aus dem Bach der Kindheit auf einen abenteuerlichen Weg; von dort fahre in den Fluss der Jugend; dann </w:t>
      </w:r>
      <w:r>
        <w:rPr>
          <w:lang w:val="de-AT"/>
        </w:rPr>
        <w:t xml:space="preserve">fahre hinaus </w:t>
      </w:r>
      <w:r w:rsidRPr="00373844">
        <w:rPr>
          <w:lang w:val="de-AT"/>
        </w:rPr>
        <w:t>auf de</w:t>
      </w:r>
      <w:r>
        <w:rPr>
          <w:lang w:val="de-AT"/>
        </w:rPr>
        <w:t>n</w:t>
      </w:r>
      <w:r w:rsidRPr="00373844">
        <w:rPr>
          <w:lang w:val="de-AT"/>
        </w:rPr>
        <w:t xml:space="preserve"> Ozean des </w:t>
      </w:r>
      <w:r>
        <w:rPr>
          <w:lang w:val="de-AT"/>
        </w:rPr>
        <w:t>Erwachsenseins, um in den Hafen zu gelangen, den du erreichen willst</w:t>
      </w:r>
      <w:r w:rsidRPr="00373844">
        <w:rPr>
          <w:lang w:val="de-AT"/>
        </w:rPr>
        <w:t>.</w:t>
      </w:r>
      <w:r>
        <w:rPr>
          <w:lang w:val="de-AT"/>
        </w:rPr>
        <w:t>“</w:t>
      </w:r>
      <w:r w:rsidRPr="00373844">
        <w:rPr>
          <w:lang w:val="de-AT"/>
        </w:rPr>
        <w:t xml:space="preserve"> </w:t>
      </w:r>
      <w:r w:rsidRPr="009F4BD7">
        <w:t xml:space="preserve">[R. Baden-Powell, </w:t>
      </w:r>
      <w:r>
        <w:rPr>
          <w:i/>
          <w:iCs/>
        </w:rPr>
        <w:t>Die Straße zum Erfolg</w:t>
      </w:r>
      <w:r w:rsidRPr="009F4BD7">
        <w:t>]</w:t>
      </w:r>
    </w:p>
    <w:p w:rsidR="007C79D2" w:rsidRPr="009F4BD7" w:rsidRDefault="007C79D2" w:rsidP="007C79D2"/>
    <w:p w:rsidR="004D4599" w:rsidRPr="00C51AE4" w:rsidRDefault="004D4599">
      <w:pPr>
        <w:rPr>
          <w:sz w:val="24"/>
          <w:lang w:val="de-AT"/>
        </w:rPr>
      </w:pPr>
    </w:p>
    <w:sectPr w:rsidR="004D4599" w:rsidRPr="00C51AE4" w:rsidSect="00A90754">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93" w:rsidRDefault="00C37C93" w:rsidP="00620821">
      <w:r>
        <w:separator/>
      </w:r>
    </w:p>
  </w:endnote>
  <w:endnote w:type="continuationSeparator" w:id="0">
    <w:p w:rsidR="00C37C93" w:rsidRDefault="00C37C93" w:rsidP="0062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21" w:rsidRDefault="00283322">
    <w:pPr>
      <w:pStyle w:val="Fuzeile"/>
    </w:pPr>
    <w:r>
      <w:t>Rom</w:t>
    </w:r>
    <w:r w:rsidR="00620821">
      <w:t xml:space="preserve">                                                   Porcarelli </w:t>
    </w:r>
    <w:r w:rsidR="00620821">
      <w:fldChar w:fldCharType="begin"/>
    </w:r>
    <w:r w:rsidR="00620821">
      <w:instrText>PAGE   \* MERGEFORMAT</w:instrText>
    </w:r>
    <w:r w:rsidR="00620821">
      <w:fldChar w:fldCharType="separate"/>
    </w:r>
    <w:r w:rsidR="007C79D2" w:rsidRPr="007C79D2">
      <w:rPr>
        <w:noProof/>
        <w:lang w:val="de-DE"/>
      </w:rPr>
      <w:t>1</w:t>
    </w:r>
    <w:r w:rsidR="00620821">
      <w:fldChar w:fldCharType="end"/>
    </w:r>
    <w:r w:rsidR="00620821">
      <w:t xml:space="preserve">                                         SIESC 2015</w:t>
    </w:r>
  </w:p>
  <w:p w:rsidR="00620821" w:rsidRDefault="00620821">
    <w:pPr>
      <w:pStyle w:val="Fuzeil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93" w:rsidRDefault="00C37C93" w:rsidP="00620821">
      <w:r>
        <w:separator/>
      </w:r>
    </w:p>
  </w:footnote>
  <w:footnote w:type="continuationSeparator" w:id="0">
    <w:p w:rsidR="00C37C93" w:rsidRDefault="00C37C93" w:rsidP="0062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44"/>
    <w:rsid w:val="00047848"/>
    <w:rsid w:val="000A52B2"/>
    <w:rsid w:val="000B2183"/>
    <w:rsid w:val="000C27B3"/>
    <w:rsid w:val="000F32CF"/>
    <w:rsid w:val="00123818"/>
    <w:rsid w:val="001437E8"/>
    <w:rsid w:val="00144061"/>
    <w:rsid w:val="00151155"/>
    <w:rsid w:val="001864A2"/>
    <w:rsid w:val="001C649B"/>
    <w:rsid w:val="001D787F"/>
    <w:rsid w:val="001F556D"/>
    <w:rsid w:val="00283322"/>
    <w:rsid w:val="002B2BA5"/>
    <w:rsid w:val="00316289"/>
    <w:rsid w:val="003231CB"/>
    <w:rsid w:val="003770CF"/>
    <w:rsid w:val="003A2891"/>
    <w:rsid w:val="003C3DD6"/>
    <w:rsid w:val="003F250A"/>
    <w:rsid w:val="0048479E"/>
    <w:rsid w:val="00492568"/>
    <w:rsid w:val="004B4429"/>
    <w:rsid w:val="004D4599"/>
    <w:rsid w:val="004E34B1"/>
    <w:rsid w:val="005337CA"/>
    <w:rsid w:val="005342C9"/>
    <w:rsid w:val="00536161"/>
    <w:rsid w:val="005534FB"/>
    <w:rsid w:val="00565334"/>
    <w:rsid w:val="005D460A"/>
    <w:rsid w:val="00620015"/>
    <w:rsid w:val="00620821"/>
    <w:rsid w:val="00620ED3"/>
    <w:rsid w:val="006A72F3"/>
    <w:rsid w:val="006F4FF0"/>
    <w:rsid w:val="007137D7"/>
    <w:rsid w:val="007326A5"/>
    <w:rsid w:val="00741A79"/>
    <w:rsid w:val="00751411"/>
    <w:rsid w:val="00776BFA"/>
    <w:rsid w:val="00782588"/>
    <w:rsid w:val="007C1065"/>
    <w:rsid w:val="007C79D2"/>
    <w:rsid w:val="008152AD"/>
    <w:rsid w:val="00816F03"/>
    <w:rsid w:val="008C3F6B"/>
    <w:rsid w:val="009060BA"/>
    <w:rsid w:val="00934D5D"/>
    <w:rsid w:val="00962144"/>
    <w:rsid w:val="009B4087"/>
    <w:rsid w:val="009C7833"/>
    <w:rsid w:val="009E6F0A"/>
    <w:rsid w:val="00A27445"/>
    <w:rsid w:val="00A866BC"/>
    <w:rsid w:val="00A90754"/>
    <w:rsid w:val="00AA78E7"/>
    <w:rsid w:val="00AF3671"/>
    <w:rsid w:val="00B056E1"/>
    <w:rsid w:val="00B378A8"/>
    <w:rsid w:val="00B84515"/>
    <w:rsid w:val="00B873EB"/>
    <w:rsid w:val="00BA31C5"/>
    <w:rsid w:val="00BB24AD"/>
    <w:rsid w:val="00BF2325"/>
    <w:rsid w:val="00C37C93"/>
    <w:rsid w:val="00C51AE4"/>
    <w:rsid w:val="00C54358"/>
    <w:rsid w:val="00C7252E"/>
    <w:rsid w:val="00C90964"/>
    <w:rsid w:val="00CC48FD"/>
    <w:rsid w:val="00D929D1"/>
    <w:rsid w:val="00DC4373"/>
    <w:rsid w:val="00E10B6C"/>
    <w:rsid w:val="00E54F31"/>
    <w:rsid w:val="00EA62D7"/>
    <w:rsid w:val="00EB68C5"/>
    <w:rsid w:val="00F12121"/>
    <w:rsid w:val="00F30DCC"/>
    <w:rsid w:val="00F62428"/>
    <w:rsid w:val="00FA4F47"/>
    <w:rsid w:val="00FA7DB4"/>
    <w:rsid w:val="00FB65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8E7"/>
    <w:pPr>
      <w:suppressAutoHyphens/>
      <w:jc w:val="both"/>
    </w:pPr>
    <w:rPr>
      <w:rFonts w:ascii="Times New Roman" w:eastAsia="Times New Roman" w:hAnsi="Times New Roman"/>
      <w:sz w:val="22"/>
      <w:szCs w:val="24"/>
      <w:lang w:val="it-IT" w:eastAsia="ar-SA"/>
    </w:rPr>
  </w:style>
  <w:style w:type="paragraph" w:styleId="berschrift1">
    <w:name w:val="heading 1"/>
    <w:basedOn w:val="Standard"/>
    <w:next w:val="Standard"/>
    <w:link w:val="berschrift1Zchn"/>
    <w:uiPriority w:val="9"/>
    <w:qFormat/>
    <w:rsid w:val="004D4599"/>
    <w:pPr>
      <w:keepNext/>
      <w:spacing w:before="240" w:after="60"/>
      <w:jc w:val="center"/>
      <w:outlineLvl w:val="0"/>
    </w:pPr>
    <w:rPr>
      <w:rFonts w:ascii="Cambria" w:hAnsi="Cambria"/>
      <w:b/>
      <w:bCs/>
      <w:color w:val="244061"/>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D4599"/>
    <w:rPr>
      <w:rFonts w:ascii="Cambria" w:eastAsia="Times New Roman" w:hAnsi="Cambria" w:cs="Times New Roman"/>
      <w:b/>
      <w:bCs/>
      <w:color w:val="244061"/>
      <w:kern w:val="32"/>
      <w:sz w:val="36"/>
      <w:szCs w:val="32"/>
      <w:lang w:eastAsia="ar-SA"/>
    </w:rPr>
  </w:style>
  <w:style w:type="paragraph" w:styleId="Kopfzeile">
    <w:name w:val="header"/>
    <w:basedOn w:val="Standard"/>
    <w:link w:val="KopfzeileZchn"/>
    <w:uiPriority w:val="99"/>
    <w:unhideWhenUsed/>
    <w:rsid w:val="00620821"/>
    <w:pPr>
      <w:tabs>
        <w:tab w:val="center" w:pos="4536"/>
        <w:tab w:val="right" w:pos="9072"/>
      </w:tabs>
    </w:pPr>
  </w:style>
  <w:style w:type="character" w:customStyle="1" w:styleId="KopfzeileZchn">
    <w:name w:val="Kopfzeile Zchn"/>
    <w:link w:val="Kopfzeile"/>
    <w:uiPriority w:val="99"/>
    <w:rsid w:val="00620821"/>
    <w:rPr>
      <w:rFonts w:ascii="Times New Roman" w:eastAsia="Times New Roman" w:hAnsi="Times New Roman"/>
      <w:sz w:val="22"/>
      <w:szCs w:val="24"/>
      <w:lang w:val="it-IT" w:eastAsia="ar-SA"/>
    </w:rPr>
  </w:style>
  <w:style w:type="paragraph" w:styleId="Fuzeile">
    <w:name w:val="footer"/>
    <w:basedOn w:val="Standard"/>
    <w:link w:val="FuzeileZchn"/>
    <w:uiPriority w:val="99"/>
    <w:unhideWhenUsed/>
    <w:rsid w:val="00620821"/>
    <w:pPr>
      <w:tabs>
        <w:tab w:val="center" w:pos="4536"/>
        <w:tab w:val="right" w:pos="9072"/>
      </w:tabs>
    </w:pPr>
  </w:style>
  <w:style w:type="character" w:customStyle="1" w:styleId="FuzeileZchn">
    <w:name w:val="Fußzeile Zchn"/>
    <w:link w:val="Fuzeile"/>
    <w:uiPriority w:val="99"/>
    <w:rsid w:val="00620821"/>
    <w:rPr>
      <w:rFonts w:ascii="Times New Roman" w:eastAsia="Times New Roman" w:hAnsi="Times New Roman"/>
      <w:sz w:val="22"/>
      <w:szCs w:val="24"/>
      <w:lang w:val="it-IT" w:eastAsia="ar-SA"/>
    </w:rPr>
  </w:style>
  <w:style w:type="paragraph" w:styleId="Sprechblasentext">
    <w:name w:val="Balloon Text"/>
    <w:basedOn w:val="Standard"/>
    <w:link w:val="SprechblasentextZchn"/>
    <w:uiPriority w:val="99"/>
    <w:semiHidden/>
    <w:unhideWhenUsed/>
    <w:rsid w:val="00620821"/>
    <w:rPr>
      <w:rFonts w:ascii="Tahoma" w:hAnsi="Tahoma" w:cs="Tahoma"/>
      <w:sz w:val="16"/>
      <w:szCs w:val="16"/>
    </w:rPr>
  </w:style>
  <w:style w:type="character" w:customStyle="1" w:styleId="SprechblasentextZchn">
    <w:name w:val="Sprechblasentext Zchn"/>
    <w:link w:val="Sprechblasentext"/>
    <w:uiPriority w:val="99"/>
    <w:semiHidden/>
    <w:rsid w:val="00620821"/>
    <w:rPr>
      <w:rFonts w:ascii="Tahoma" w:eastAsia="Times New Roman" w:hAnsi="Tahoma" w:cs="Tahoma"/>
      <w:sz w:val="16"/>
      <w:szCs w:val="16"/>
      <w:lang w:val="it-IT" w:eastAsia="ar-SA"/>
    </w:rPr>
  </w:style>
  <w:style w:type="paragraph" w:customStyle="1" w:styleId="Default">
    <w:name w:val="Default"/>
    <w:rsid w:val="007C79D2"/>
    <w:pPr>
      <w:autoSpaceDE w:val="0"/>
      <w:autoSpaceDN w:val="0"/>
      <w:adjustRightInd w:val="0"/>
    </w:pPr>
    <w:rPr>
      <w:rFonts w:eastAsia="Times New Roman"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FF8C-1B5D-4B6D-A436-7BCF36EB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8175</Characters>
  <Application>Microsoft Office Word</Application>
  <DocSecurity>0</DocSecurity>
  <Lines>68</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Wolfgang Rank</cp:lastModifiedBy>
  <cp:revision>5</cp:revision>
  <dcterms:created xsi:type="dcterms:W3CDTF">2015-06-15T16:29:00Z</dcterms:created>
  <dcterms:modified xsi:type="dcterms:W3CDTF">2015-12-23T09:13:00Z</dcterms:modified>
</cp:coreProperties>
</file>